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C36B3">
      <w:pPr>
        <w:spacing w:before="80" w:after="80" w:line="380" w:lineRule="auto"/>
        <w:ind w:firstLine="480"/>
        <w:jc w:val="center"/>
        <w:rPr>
          <w:rFonts w:hint="eastAsia" w:ascii="方正仿宋_GB2312" w:hAnsi="方正仿宋_GB2312" w:eastAsia="方正仿宋_GB2312" w:cs="方正仿宋_GB2312"/>
          <w:b/>
          <w:bCs/>
          <w:sz w:val="36"/>
          <w:szCs w:val="36"/>
        </w:rPr>
      </w:pPr>
      <w:r>
        <w:rPr>
          <w:rFonts w:hint="eastAsia" w:ascii="方正仿宋_GB2312" w:hAnsi="方正仿宋_GB2312" w:eastAsia="方正仿宋_GB2312" w:cs="方正仿宋_GB2312"/>
          <w:b/>
          <w:bCs/>
          <w:sz w:val="36"/>
          <w:szCs w:val="36"/>
        </w:rPr>
        <w:t>2026世界青年科学家峰会“万有引力π”展示交流活动</w:t>
      </w:r>
    </w:p>
    <w:p w14:paraId="20E91BCF">
      <w:pPr>
        <w:spacing w:before="80" w:after="80" w:line="380" w:lineRule="auto"/>
        <w:ind w:firstLine="480"/>
        <w:jc w:val="center"/>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板块一 · 专利源头创新展区 · 展品征集指南</w:t>
      </w:r>
    </w:p>
    <w:p w14:paraId="52A4CA01">
      <w:pPr>
        <w:spacing w:before="80" w:after="80" w:line="380" w:lineRule="auto"/>
        <w:ind w:firstLine="48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创新是引领发展的第一动力，保护知识产权就是保护创新。专利，是技术从实验室走向市场的“第一粒种子”。</w:t>
      </w:r>
    </w:p>
    <w:p w14:paraId="646F10E8">
      <w:pPr>
        <w:spacing w:before="80" w:after="80" w:line="380" w:lineRule="auto"/>
        <w:ind w:firstLine="48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2026青科会“万有引力π”设立“专利源头创新展区”，面向全球集中展示各未来产业赛道的核心发明专利与高质量专利成果，呈现从0到1的原始创新力量。我们诚挚邀请海内外创新主体携核心专利成果参展，让每一项突破性发明在世界青年科学家峰会上被看见、被链接、被转化。</w:t>
      </w:r>
    </w:p>
    <w:p w14:paraId="15E7B655">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展区定位：</w:t>
      </w:r>
    </w:p>
    <w:p w14:paraId="3CDEBC63">
      <w:pPr>
        <w:spacing w:before="80" w:after="80" w:line="380" w:lineRule="auto"/>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面向全球高等院校、科研院所、新型研发机构、科技型企业及发明人，征集各未来产业赛道的核心发明专利</w:t>
      </w:r>
      <w:r>
        <w:rPr>
          <w:rFonts w:hint="eastAsia" w:ascii="方正仿宋_GB2312" w:hAnsi="方正仿宋_GB2312" w:eastAsia="方正仿宋_GB2312" w:cs="方正仿宋_GB2312"/>
          <w:b w:val="0"/>
          <w:bCs w:val="0"/>
          <w:sz w:val="28"/>
          <w:szCs w:val="28"/>
          <w:lang w:val="en-US" w:eastAsia="zh-CN"/>
        </w:rPr>
        <w:t>证书</w:t>
      </w:r>
      <w:r>
        <w:rPr>
          <w:rFonts w:hint="eastAsia" w:ascii="方正仿宋_GB2312" w:hAnsi="方正仿宋_GB2312" w:eastAsia="方正仿宋_GB2312" w:cs="方正仿宋_GB2312"/>
          <w:b w:val="0"/>
          <w:bCs w:val="0"/>
          <w:sz w:val="28"/>
          <w:szCs w:val="28"/>
        </w:rPr>
        <w:t>。</w:t>
      </w:r>
    </w:p>
    <w:p w14:paraId="0C3044C9">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具身智能、新能源与新材料、激光与光电子、生命健康、智慧医疗、脑机接口、低空装备等重点赛道核心专利</w:t>
      </w:r>
    </w:p>
    <w:p w14:paraId="5E6AA825">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已获授权或进入实质审查阶段的发明专利（PCT国际专利优先）</w:t>
      </w:r>
    </w:p>
    <w:p w14:paraId="46F5DC68">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获中国专利奖、省级专利奖的获奖专利</w:t>
      </w:r>
    </w:p>
    <w:p w14:paraId="07D661E2">
      <w:pPr>
        <w:spacing w:before="50" w:after="50" w:line="360" w:lineRule="auto"/>
        <w:ind w:left="480" w:firstLine="0"/>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具有较高产业转化潜力和应用前景的前瞻性专利</w:t>
      </w:r>
    </w:p>
    <w:p w14:paraId="49455AFE">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入选标准：</w:t>
      </w:r>
    </w:p>
    <w:p w14:paraId="02008EDD">
      <w:pPr>
        <w:spacing w:before="50" w:after="50" w:line="360" w:lineRule="auto"/>
        <w:ind w:left="480" w:firstLine="0"/>
        <w:rPr>
          <w:rFonts w:hint="default" w:ascii="方正仿宋_GB2312" w:hAnsi="方正仿宋_GB2312" w:eastAsia="方正仿宋_GB2312" w:cs="方正仿宋_GB2312"/>
          <w:sz w:val="28"/>
          <w:szCs w:val="28"/>
        </w:rPr>
      </w:pPr>
      <w:r>
        <w:rPr>
          <w:rFonts w:hint="default" w:ascii="Segoe UI" w:hAnsi="Segoe UI" w:eastAsia="Segoe UI" w:cs="Segoe UI"/>
          <w:i w:val="0"/>
          <w:iCs w:val="0"/>
          <w:caps w:val="0"/>
          <w:spacing w:val="0"/>
          <w:kern w:val="0"/>
          <w:sz w:val="24"/>
          <w:szCs w:val="24"/>
          <w:shd w:val="clear" w:color="auto" w:fill="FFFFFF"/>
          <w:vertAlign w:val="baseline"/>
          <w:lang w:val="en-US" w:eastAsia="zh-CN" w:bidi="ar"/>
        </w:rPr>
        <w:t>一、</w:t>
      </w:r>
      <w:r>
        <w:rPr>
          <w:rFonts w:hint="default" w:ascii="方正仿宋_GB2312" w:hAnsi="方正仿宋_GB2312" w:eastAsia="方正仿宋_GB2312" w:cs="方正仿宋_GB2312"/>
          <w:sz w:val="28"/>
          <w:szCs w:val="28"/>
          <w:lang w:val="en-US" w:eastAsia="zh-CN"/>
        </w:rPr>
        <w:t>基本条件 专利须为发明专利（不含实用新型、外观设计专利），且法律状态为有效或在审。</w:t>
      </w:r>
    </w:p>
    <w:p w14:paraId="0712F2C6">
      <w:pPr>
        <w:spacing w:before="50" w:after="50" w:line="360" w:lineRule="auto"/>
        <w:ind w:left="480" w:firstLine="0"/>
        <w:rPr>
          <w:rFonts w:hint="default" w:ascii="方正仿宋_GB2312" w:hAnsi="方正仿宋_GB2312" w:eastAsia="方正仿宋_GB2312" w:cs="方正仿宋_GB2312"/>
          <w:sz w:val="28"/>
          <w:szCs w:val="28"/>
        </w:rPr>
      </w:pPr>
      <w:r>
        <w:rPr>
          <w:rFonts w:hint="default" w:ascii="方正仿宋_GB2312" w:hAnsi="方正仿宋_GB2312" w:eastAsia="方正仿宋_GB2312" w:cs="方正仿宋_GB2312"/>
          <w:sz w:val="28"/>
          <w:szCs w:val="28"/>
          <w:lang w:val="en-US" w:eastAsia="zh-CN"/>
        </w:rPr>
        <w:t>二、资质要求 参展专利满足以下标准之一：</w:t>
      </w:r>
    </w:p>
    <w:p w14:paraId="740344DE">
      <w:pPr>
        <w:spacing w:before="50" w:after="50" w:line="360" w:lineRule="auto"/>
        <w:ind w:left="480" w:firstLine="0"/>
        <w:rPr>
          <w:rFonts w:hint="eastAsia" w:ascii="方正仿宋_GB2312" w:hAnsi="方正仿宋_GB2312" w:eastAsia="方正仿宋_GB2312" w:cs="方正仿宋_GB2312"/>
          <w:sz w:val="28"/>
          <w:szCs w:val="28"/>
        </w:rPr>
      </w:pPr>
    </w:p>
    <w:p w14:paraId="58B97C2D">
      <w:pPr>
        <w:spacing w:before="50" w:after="50" w:line="360" w:lineRule="auto"/>
        <w:ind w:left="480" w:firstLine="0"/>
        <w:rPr>
          <w:rFonts w:hint="eastAsia" w:ascii="方正仿宋_GB2312" w:hAnsi="方正仿宋_GB2312" w:eastAsia="方正仿宋_GB2312" w:cs="方正仿宋_GB2312"/>
          <w:sz w:val="28"/>
          <w:szCs w:val="28"/>
        </w:rPr>
      </w:pPr>
      <w:r>
        <w:rPr>
          <w:rFonts w:hint="default" w:ascii="方正仿宋_GB2312" w:hAnsi="方正仿宋_GB2312" w:eastAsia="方正仿宋_GB2312" w:cs="方正仿宋_GB2312"/>
          <w:sz w:val="28"/>
          <w:szCs w:val="28"/>
          <w:lang w:val="en-US" w:eastAsia="zh-CN"/>
        </w:rPr>
        <w:t>PCT国际专利（已进入国家阶段的优先）；</w:t>
      </w:r>
    </w:p>
    <w:p w14:paraId="3260495F">
      <w:pPr>
        <w:spacing w:before="50" w:after="50" w:line="360" w:lineRule="auto"/>
        <w:ind w:left="480" w:firstLine="0"/>
        <w:rPr>
          <w:rFonts w:hint="eastAsia" w:ascii="方正仿宋_GB2312" w:hAnsi="方正仿宋_GB2312" w:eastAsia="方正仿宋_GB2312" w:cs="方正仿宋_GB2312"/>
          <w:sz w:val="28"/>
          <w:szCs w:val="28"/>
        </w:rPr>
      </w:pPr>
      <w:r>
        <w:rPr>
          <w:rFonts w:hint="default" w:ascii="方正仿宋_GB2312" w:hAnsi="方正仿宋_GB2312" w:eastAsia="方正仿宋_GB2312" w:cs="方正仿宋_GB2312"/>
          <w:sz w:val="28"/>
          <w:szCs w:val="28"/>
          <w:lang w:val="en-US" w:eastAsia="zh-CN"/>
        </w:rPr>
        <w:t>获国家专利奖；</w:t>
      </w:r>
    </w:p>
    <w:p w14:paraId="3663DE59">
      <w:pPr>
        <w:spacing w:before="50" w:after="50" w:line="360" w:lineRule="auto"/>
        <w:ind w:left="480" w:firstLine="0"/>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获省级专利奖</w:t>
      </w:r>
      <w:r>
        <w:rPr>
          <w:rFonts w:hint="eastAsia" w:ascii="方正仿宋_GB2312" w:hAnsi="方正仿宋_GB2312" w:eastAsia="方正仿宋_GB2312" w:cs="方正仿宋_GB2312"/>
          <w:sz w:val="28"/>
          <w:szCs w:val="28"/>
          <w:lang w:val="en-US" w:eastAsia="zh-CN"/>
        </w:rPr>
        <w:t>；</w:t>
      </w:r>
    </w:p>
    <w:p w14:paraId="1FA89D9D">
      <w:pPr>
        <w:spacing w:before="50" w:after="50" w:line="360" w:lineRule="auto"/>
        <w:ind w:left="480" w:firstLine="0"/>
        <w:rPr>
          <w:rFonts w:hint="eastAsia"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属于国家战略性新兴产业或未来产业的关键核心技术</w:t>
      </w:r>
      <w:r>
        <w:rPr>
          <w:rFonts w:hint="eastAsia" w:ascii="方正仿宋_GB2312" w:hAnsi="方正仿宋_GB2312" w:eastAsia="方正仿宋_GB2312" w:cs="方正仿宋_GB2312"/>
          <w:sz w:val="28"/>
          <w:szCs w:val="28"/>
          <w:lang w:val="en-US" w:eastAsia="zh-CN"/>
        </w:rPr>
        <w:t>;</w:t>
      </w:r>
    </w:p>
    <w:p w14:paraId="5E8606AB">
      <w:pPr>
        <w:spacing w:before="50" w:after="50" w:line="360" w:lineRule="auto"/>
        <w:ind w:left="480" w:firstLine="0"/>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已实现专利许可、转让，或基于该专利获得了风险投资。</w:t>
      </w:r>
    </w:p>
    <w:p w14:paraId="599D0267">
      <w:pPr>
        <w:spacing w:before="80" w:after="80" w:line="380" w:lineRule="auto"/>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申报材料：</w:t>
      </w:r>
    </w:p>
    <w:p w14:paraId="1E6C0622">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专利证书复印件（或专利受理通知书+实质审查通知）</w:t>
      </w:r>
    </w:p>
    <w:p w14:paraId="4297C7A0">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专利说明书摘要（300字以内，突出技术特点、应用场景、产值效益）</w:t>
      </w:r>
    </w:p>
    <w:p w14:paraId="2C96652E">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获奖证书复印件（如获中国专利奖、省级专利奖等）</w:t>
      </w:r>
    </w:p>
    <w:p w14:paraId="221B92C8">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专利权人身份证明（企业营业执照或事业单位法人证书复印件）</w:t>
      </w:r>
    </w:p>
    <w:p w14:paraId="0E9AB93E">
      <w:pPr>
        <w:spacing w:before="50" w:after="50" w:line="360" w:lineRule="auto"/>
        <w:ind w:left="48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color w:val="2E75B6"/>
          <w:sz w:val="28"/>
          <w:szCs w:val="28"/>
        </w:rPr>
        <w:t xml:space="preserve">▸ </w:t>
      </w:r>
      <w:r>
        <w:rPr>
          <w:rFonts w:hint="eastAsia" w:ascii="方正仿宋_GB2312" w:hAnsi="方正仿宋_GB2312" w:eastAsia="方正仿宋_GB2312" w:cs="方正仿宋_GB2312"/>
          <w:sz w:val="28"/>
          <w:szCs w:val="28"/>
        </w:rPr>
        <w:t>单位LOGO及宣传素材（如有）</w:t>
      </w:r>
    </w:p>
    <w:p w14:paraId="5A8FF0DF">
      <w:pPr>
        <w:spacing w:before="50" w:after="50" w:line="36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申报方式：</w:t>
      </w:r>
    </w:p>
    <w:p w14:paraId="450E134F">
      <w:pPr>
        <w:spacing w:before="80" w:after="80" w:line="380" w:lineRule="auto"/>
        <w:ind w:firstLine="48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rPr>
        <w:t>请填写《青科会参展信息收集表》，连同附件材料发送至指定邮箱，邮件主题请注明：“万有引力π参展申报—专利源头创新—单位名称”</w:t>
      </w:r>
      <w:r>
        <w:rPr>
          <w:rFonts w:hint="eastAsia" w:ascii="方正仿宋_GB2312" w:hAnsi="方正仿宋_GB2312" w:eastAsia="方正仿宋_GB2312" w:cs="方正仿宋_GB2312"/>
          <w:b w:val="0"/>
          <w:bCs w:val="0"/>
          <w:sz w:val="28"/>
          <w:szCs w:val="28"/>
          <w:lang w:eastAsia="zh-CN"/>
        </w:rPr>
        <w:t>。</w:t>
      </w:r>
    </w:p>
    <w:p w14:paraId="5159ABDC">
      <w:pPr>
        <w:spacing w:before="80" w:after="80" w:line="380" w:lineRule="auto"/>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bCs/>
          <w:sz w:val="28"/>
          <w:szCs w:val="28"/>
          <w:lang w:val="en-US" w:eastAsia="zh-CN"/>
        </w:rPr>
        <w:t>时间安排：</w:t>
      </w:r>
    </w:p>
    <w:tbl>
      <w:tblPr>
        <w:tblStyle w:val="2"/>
        <w:tblW w:w="9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932"/>
        <w:gridCol w:w="5590"/>
      </w:tblGrid>
      <w:tr w14:paraId="1C89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3932" w:type="dxa"/>
            <w:tcBorders>
              <w:top w:val="single" w:color="000000" w:sz="6" w:space="0"/>
              <w:left w:val="single" w:color="000000" w:sz="6" w:space="0"/>
              <w:bottom w:val="single" w:color="000000" w:sz="6" w:space="0"/>
              <w:right w:val="single" w:color="000000" w:sz="6" w:space="0"/>
            </w:tcBorders>
            <w:shd w:val="clear" w:color="auto" w:fill="D6E4F0"/>
            <w:noWrap w:val="0"/>
            <w:tcMar>
              <w:top w:w="80" w:type="dxa"/>
              <w:left w:w="120" w:type="dxa"/>
              <w:bottom w:w="80" w:type="dxa"/>
              <w:right w:w="120" w:type="dxa"/>
            </w:tcMar>
            <w:vAlign w:val="top"/>
          </w:tcPr>
          <w:p w14:paraId="2EDA2416">
            <w:pPr>
              <w:spacing w:before="40" w:after="40" w:line="300" w:lineRule="auto"/>
              <w:jc w:val="center"/>
              <w:rPr>
                <w:rFonts w:hint="eastAsia" w:ascii="方正仿宋_GB2312" w:hAnsi="方正仿宋_GB2312" w:eastAsia="方正仿宋_GB2312" w:cs="方正仿宋_GB2312"/>
                <w:b/>
                <w:color w:val="000000"/>
                <w:sz w:val="28"/>
                <w:szCs w:val="28"/>
              </w:rPr>
            </w:pPr>
            <w:r>
              <w:rPr>
                <w:rFonts w:hint="eastAsia" w:ascii="方正仿宋_GB2312" w:hAnsi="方正仿宋_GB2312" w:eastAsia="方正仿宋_GB2312" w:cs="方正仿宋_GB2312"/>
                <w:b/>
                <w:bCs/>
                <w:sz w:val="28"/>
                <w:szCs w:val="28"/>
              </w:rPr>
              <w:t>时间节点</w:t>
            </w:r>
          </w:p>
        </w:tc>
        <w:tc>
          <w:tcPr>
            <w:tcW w:w="5590" w:type="dxa"/>
            <w:tcBorders>
              <w:top w:val="single" w:color="000000" w:sz="6" w:space="0"/>
              <w:left w:val="single" w:color="000000" w:sz="6" w:space="0"/>
              <w:bottom w:val="single" w:color="000000" w:sz="6" w:space="0"/>
              <w:right w:val="single" w:color="000000" w:sz="6" w:space="0"/>
            </w:tcBorders>
            <w:shd w:val="clear" w:color="auto" w:fill="D6E4F0"/>
            <w:noWrap w:val="0"/>
            <w:tcMar>
              <w:top w:w="80" w:type="dxa"/>
              <w:left w:w="120" w:type="dxa"/>
              <w:bottom w:w="80" w:type="dxa"/>
              <w:right w:w="120" w:type="dxa"/>
            </w:tcMar>
            <w:vAlign w:val="top"/>
          </w:tcPr>
          <w:p w14:paraId="47CBD967">
            <w:pPr>
              <w:spacing w:before="40" w:after="40" w:line="300" w:lineRule="auto"/>
              <w:jc w:val="center"/>
              <w:rPr>
                <w:rFonts w:hint="eastAsia" w:ascii="方正仿宋_GB2312" w:hAnsi="方正仿宋_GB2312" w:eastAsia="方正仿宋_GB2312" w:cs="方正仿宋_GB2312"/>
                <w:b/>
                <w:color w:val="000000"/>
                <w:sz w:val="28"/>
                <w:szCs w:val="28"/>
              </w:rPr>
            </w:pPr>
            <w:r>
              <w:rPr>
                <w:rFonts w:hint="eastAsia" w:ascii="方正仿宋_GB2312" w:hAnsi="方正仿宋_GB2312" w:eastAsia="方正仿宋_GB2312" w:cs="方正仿宋_GB2312"/>
                <w:b/>
                <w:bCs/>
                <w:sz w:val="28"/>
                <w:szCs w:val="28"/>
              </w:rPr>
              <w:t>重要事项</w:t>
            </w:r>
          </w:p>
        </w:tc>
      </w:tr>
      <w:tr w14:paraId="4DE6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932"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590CCF8F">
            <w:pPr>
              <w:spacing w:before="40" w:after="40" w:line="300" w:lineRule="auto"/>
              <w:jc w:val="center"/>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即日 — 9月</w:t>
            </w: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5日</w:t>
            </w:r>
          </w:p>
        </w:tc>
        <w:tc>
          <w:tcPr>
            <w:tcW w:w="5590"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7BF12F22">
            <w:pPr>
              <w:spacing w:before="40" w:after="40" w:line="300" w:lineRule="auto"/>
              <w:jc w:val="lef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在线提交申报材料</w:t>
            </w:r>
          </w:p>
        </w:tc>
      </w:tr>
      <w:tr w14:paraId="0623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932"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47ECF82C">
            <w:pPr>
              <w:spacing w:before="40" w:after="40" w:line="300" w:lineRule="auto"/>
              <w:jc w:val="center"/>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9月</w:t>
            </w:r>
            <w:r>
              <w:rPr>
                <w:rFonts w:hint="eastAsia" w:ascii="方正仿宋_GB2312" w:hAnsi="方正仿宋_GB2312" w:eastAsia="方正仿宋_GB2312" w:cs="方正仿宋_GB2312"/>
                <w:b w:val="0"/>
                <w:bCs w:val="0"/>
                <w:sz w:val="28"/>
                <w:szCs w:val="28"/>
                <w:lang w:val="en-US" w:eastAsia="zh-CN"/>
              </w:rPr>
              <w:t>28</w:t>
            </w:r>
            <w:bookmarkStart w:id="0" w:name="_GoBack"/>
            <w:bookmarkEnd w:id="0"/>
            <w:r>
              <w:rPr>
                <w:rFonts w:hint="eastAsia" w:ascii="方正仿宋_GB2312" w:hAnsi="方正仿宋_GB2312" w:eastAsia="方正仿宋_GB2312" w:cs="方正仿宋_GB2312"/>
                <w:b w:val="0"/>
                <w:bCs w:val="0"/>
                <w:sz w:val="28"/>
                <w:szCs w:val="28"/>
                <w:lang w:val="en-US" w:eastAsia="zh-CN"/>
              </w:rPr>
              <w:t>日</w:t>
            </w:r>
          </w:p>
        </w:tc>
        <w:tc>
          <w:tcPr>
            <w:tcW w:w="5590"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269F134A">
            <w:pPr>
              <w:spacing w:before="40" w:after="40" w:line="300" w:lineRule="auto"/>
              <w:jc w:val="lef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专家集中遴选，确定入选名单</w:t>
            </w:r>
          </w:p>
        </w:tc>
      </w:tr>
      <w:tr w14:paraId="6628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932"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66B5890D">
            <w:pPr>
              <w:spacing w:before="40" w:after="40" w:line="300" w:lineRule="auto"/>
              <w:jc w:val="center"/>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lang w:val="en-US" w:eastAsia="zh-CN"/>
              </w:rPr>
              <w:t>10</w:t>
            </w:r>
            <w:r>
              <w:rPr>
                <w:rFonts w:hint="eastAsia" w:ascii="方正仿宋_GB2312" w:hAnsi="方正仿宋_GB2312" w:eastAsia="方正仿宋_GB2312" w:cs="方正仿宋_GB2312"/>
                <w:b w:val="0"/>
                <w:bCs w:val="0"/>
                <w:sz w:val="28"/>
                <w:szCs w:val="28"/>
              </w:rPr>
              <w:t>月</w:t>
            </w:r>
            <w:r>
              <w:rPr>
                <w:rFonts w:hint="eastAsia" w:ascii="方正仿宋_GB2312" w:hAnsi="方正仿宋_GB2312" w:eastAsia="方正仿宋_GB2312" w:cs="方正仿宋_GB2312"/>
                <w:b w:val="0"/>
                <w:bCs w:val="0"/>
                <w:sz w:val="28"/>
                <w:szCs w:val="28"/>
                <w:lang w:val="en-US" w:eastAsia="zh-CN"/>
              </w:rPr>
              <w:t>12</w:t>
            </w:r>
            <w:r>
              <w:rPr>
                <w:rFonts w:hint="eastAsia" w:ascii="方正仿宋_GB2312" w:hAnsi="方正仿宋_GB2312" w:eastAsia="方正仿宋_GB2312" w:cs="方正仿宋_GB2312"/>
                <w:b w:val="0"/>
                <w:bCs w:val="0"/>
                <w:sz w:val="28"/>
                <w:szCs w:val="28"/>
              </w:rPr>
              <w:t>日</w:t>
            </w:r>
          </w:p>
        </w:tc>
        <w:tc>
          <w:tcPr>
            <w:tcW w:w="5590"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2B7813D5">
            <w:pPr>
              <w:spacing w:before="40" w:after="40" w:line="300" w:lineRule="auto"/>
              <w:jc w:val="lef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确认展品与演示方案</w:t>
            </w:r>
          </w:p>
        </w:tc>
      </w:tr>
      <w:tr w14:paraId="55C8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932"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3F7C3E49">
            <w:pPr>
              <w:spacing w:before="40" w:after="40" w:line="300" w:lineRule="auto"/>
              <w:jc w:val="center"/>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10月20日 — 22日</w:t>
            </w:r>
          </w:p>
        </w:tc>
        <w:tc>
          <w:tcPr>
            <w:tcW w:w="5590"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2C27D562">
            <w:pPr>
              <w:spacing w:before="40" w:after="40" w:line="300" w:lineRule="auto"/>
              <w:jc w:val="lef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进场布展</w:t>
            </w:r>
          </w:p>
        </w:tc>
      </w:tr>
      <w:tr w14:paraId="15EE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932"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3A080E98">
            <w:pPr>
              <w:spacing w:before="40" w:after="40" w:line="300" w:lineRule="auto"/>
              <w:jc w:val="center"/>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10月23日</w:t>
            </w:r>
          </w:p>
        </w:tc>
        <w:tc>
          <w:tcPr>
            <w:tcW w:w="5590"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5F2E9D85">
            <w:pPr>
              <w:spacing w:before="40" w:after="40" w:line="300" w:lineRule="auto"/>
              <w:jc w:val="lef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全流程彩排</w:t>
            </w:r>
          </w:p>
        </w:tc>
      </w:tr>
      <w:tr w14:paraId="4019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932"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5AAB6F0E">
            <w:pPr>
              <w:spacing w:before="40" w:after="40" w:line="300" w:lineRule="auto"/>
              <w:jc w:val="center"/>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10月23日 — 25日</w:t>
            </w:r>
          </w:p>
        </w:tc>
        <w:tc>
          <w:tcPr>
            <w:tcW w:w="5590"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690B7EE1">
            <w:pPr>
              <w:spacing w:before="40" w:after="40" w:line="300" w:lineRule="auto"/>
              <w:jc w:val="lef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bCs w:val="0"/>
                <w:sz w:val="28"/>
                <w:szCs w:val="28"/>
              </w:rPr>
              <w:t>活动正式举办</w:t>
            </w:r>
          </w:p>
        </w:tc>
      </w:tr>
    </w:tbl>
    <w:p w14:paraId="35CA06F1">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609DEB57">
      <w:pPr>
        <w:spacing w:before="80" w:after="80" w:line="380" w:lineRule="auto"/>
        <w:jc w:val="both"/>
        <w:rPr>
          <w:rFonts w:hint="default"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注意事项:</w:t>
      </w:r>
    </w:p>
    <w:p w14:paraId="386700D6">
      <w:pPr>
        <w:spacing w:before="80" w:after="80" w:line="380" w:lineRule="auto"/>
        <w:ind w:firstLine="48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1.参展单位须对参展专利拥有合法专利权或合法授权，因专利权属或侵权引发的纠纷由参展单位承担。</w:t>
      </w:r>
    </w:p>
    <w:p w14:paraId="1B7BA085">
      <w:pPr>
        <w:spacing w:before="80" w:after="80" w:line="380" w:lineRule="auto"/>
        <w:ind w:firstLine="48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2.本次活动为受邀参展，不收取展位费用；展品运输等费用由参展单位自行承担（另有约定的除外）。</w:t>
      </w:r>
    </w:p>
    <w:p w14:paraId="19749A3D">
      <w:pPr>
        <w:spacing w:before="80" w:after="80" w:line="380" w:lineRule="auto"/>
        <w:ind w:firstLine="48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3.参展专利经专家遴选后，由策划执行团队统一对接展板设计与布展事宜。</w:t>
      </w:r>
    </w:p>
    <w:p w14:paraId="67B68896">
      <w:pPr>
        <w:spacing w:before="80" w:after="80" w:line="380" w:lineRule="auto"/>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bCs/>
          <w:sz w:val="28"/>
          <w:szCs w:val="28"/>
          <w:lang w:val="en-US" w:eastAsia="zh-CN"/>
        </w:rPr>
        <w:t xml:space="preserve">  联系我们：</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37"/>
        <w:gridCol w:w="7323"/>
      </w:tblGrid>
      <w:tr w14:paraId="2D3A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37" w:type="dxa"/>
            <w:tcBorders>
              <w:top w:val="single" w:color="000000" w:sz="6" w:space="0"/>
              <w:left w:val="single" w:color="000000" w:sz="6" w:space="0"/>
              <w:bottom w:val="single" w:color="000000" w:sz="6" w:space="0"/>
              <w:right w:val="single" w:color="000000" w:sz="6" w:space="0"/>
            </w:tcBorders>
            <w:shd w:val="clear" w:color="auto" w:fill="F2F7FB"/>
            <w:noWrap w:val="0"/>
            <w:tcMar>
              <w:top w:w="80" w:type="dxa"/>
              <w:left w:w="120" w:type="dxa"/>
              <w:bottom w:w="80" w:type="dxa"/>
              <w:right w:w="120" w:type="dxa"/>
            </w:tcMar>
            <w:vAlign w:val="top"/>
          </w:tcPr>
          <w:p w14:paraId="5DC6A643">
            <w:pPr>
              <w:spacing w:before="40" w:after="40" w:line="300" w:lineRule="auto"/>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牵头部门</w:t>
            </w:r>
          </w:p>
        </w:tc>
        <w:tc>
          <w:tcPr>
            <w:tcW w:w="7323"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00D4D026">
            <w:pPr>
              <w:spacing w:before="40" w:after="40" w:line="300" w:lineRule="auto"/>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温州市科学技术协会、温州市市场监督管理局</w:t>
            </w:r>
          </w:p>
        </w:tc>
      </w:tr>
      <w:tr w14:paraId="5124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37"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41A39E9F">
            <w:pPr>
              <w:spacing w:before="40" w:after="40" w:line="300" w:lineRule="auto"/>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征集范围</w:t>
            </w:r>
          </w:p>
        </w:tc>
        <w:tc>
          <w:tcPr>
            <w:tcW w:w="7323"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0814F280">
            <w:pPr>
              <w:spacing w:before="40" w:after="40" w:line="300" w:lineRule="auto"/>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全球高等院校、科研院所、科技型企业及发明人</w:t>
            </w:r>
          </w:p>
        </w:tc>
      </w:tr>
      <w:tr w14:paraId="3B7B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37" w:type="dxa"/>
            <w:tcBorders>
              <w:top w:val="single" w:color="000000" w:sz="6" w:space="0"/>
              <w:left w:val="single" w:color="000000" w:sz="6" w:space="0"/>
              <w:bottom w:val="single" w:color="000000" w:sz="6" w:space="0"/>
              <w:right w:val="single" w:color="000000" w:sz="6" w:space="0"/>
            </w:tcBorders>
            <w:shd w:val="clear" w:color="auto" w:fill="F2F7FB"/>
            <w:noWrap w:val="0"/>
            <w:tcMar>
              <w:top w:w="80" w:type="dxa"/>
              <w:left w:w="120" w:type="dxa"/>
              <w:bottom w:w="80" w:type="dxa"/>
              <w:right w:w="120" w:type="dxa"/>
            </w:tcMar>
            <w:vAlign w:val="top"/>
          </w:tcPr>
          <w:p w14:paraId="4EF3BDEC">
            <w:pPr>
              <w:spacing w:before="40" w:after="40" w:line="300" w:lineRule="auto"/>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征集截止</w:t>
            </w:r>
          </w:p>
        </w:tc>
        <w:tc>
          <w:tcPr>
            <w:tcW w:w="7323"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5E9D0728">
            <w:pPr>
              <w:spacing w:before="40" w:after="40" w:line="300" w:lineRule="auto"/>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val="0"/>
                <w:bCs w:val="0"/>
                <w:sz w:val="28"/>
                <w:szCs w:val="28"/>
              </w:rPr>
              <w:t>2026年9月25日</w:t>
            </w:r>
          </w:p>
        </w:tc>
      </w:tr>
      <w:tr w14:paraId="5957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37"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32EA5F92">
            <w:pPr>
              <w:spacing w:before="40" w:after="40" w:line="300" w:lineRule="auto"/>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咨询方式</w:t>
            </w:r>
          </w:p>
        </w:tc>
        <w:tc>
          <w:tcPr>
            <w:tcW w:w="7323" w:type="dxa"/>
            <w:tcBorders>
              <w:top w:val="single" w:color="000000" w:sz="6" w:space="0"/>
              <w:left w:val="single" w:color="000000" w:sz="6" w:space="0"/>
              <w:bottom w:val="single" w:color="000000" w:sz="6" w:space="0"/>
              <w:right w:val="single" w:color="000000" w:sz="6" w:space="0"/>
            </w:tcBorders>
            <w:noWrap w:val="0"/>
            <w:tcMar>
              <w:top w:w="80" w:type="dxa"/>
              <w:left w:w="120" w:type="dxa"/>
              <w:bottom w:w="80" w:type="dxa"/>
              <w:right w:w="120" w:type="dxa"/>
            </w:tcMar>
            <w:vAlign w:val="top"/>
          </w:tcPr>
          <w:p w14:paraId="6B59F9FD">
            <w:pPr>
              <w:spacing w:before="40" w:after="40" w:line="300" w:lineRule="auto"/>
              <w:jc w:val="left"/>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潘女士联系方式0577-89660289</w:t>
            </w:r>
            <w:r>
              <w:rPr>
                <w:rFonts w:hint="eastAsia" w:ascii="方正仿宋_GB2312" w:hAnsi="方正仿宋_GB2312" w:eastAsia="方正仿宋_GB2312" w:cs="方正仿宋_GB2312"/>
                <w:b w:val="0"/>
                <w:bCs w:val="0"/>
                <w:sz w:val="28"/>
                <w:szCs w:val="28"/>
                <w:lang w:val="en-US" w:eastAsia="zh-CN"/>
              </w:rPr>
              <w:t>邮箱</w:t>
            </w:r>
            <w:r>
              <w:rPr>
                <w:rFonts w:hint="eastAsia" w:ascii="方正仿宋_GB2312" w:hAnsi="方正仿宋_GB2312" w:eastAsia="方正仿宋_GB2312" w:cs="方正仿宋_GB2312"/>
                <w:b w:val="0"/>
                <w:bCs w:val="0"/>
                <w:sz w:val="28"/>
                <w:szCs w:val="28"/>
              </w:rPr>
              <w:t>:904753591@qq.com</w:t>
            </w:r>
          </w:p>
          <w:p w14:paraId="70E384EC">
            <w:pPr>
              <w:spacing w:before="40" w:after="40" w:line="300" w:lineRule="auto"/>
              <w:jc w:val="left"/>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工作时间：8:30——12:00,14:30——18:00</w:t>
            </w:r>
          </w:p>
        </w:tc>
      </w:tr>
    </w:tbl>
    <w:p w14:paraId="04C9138F">
      <w:pPr>
        <w:rPr>
          <w:rFonts w:hint="eastAsia" w:ascii="方正仿宋_GB2312" w:hAnsi="方正仿宋_GB2312" w:eastAsia="方正仿宋_GB2312" w:cs="方正仿宋_GB2312"/>
          <w:sz w:val="28"/>
          <w:szCs w:val="28"/>
        </w:rPr>
      </w:pPr>
    </w:p>
    <w:sectPr>
      <w:pgSz w:w="11906" w:h="16838"/>
      <w:pgMar w:top="1200" w:right="1300" w:bottom="1200" w:left="13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2B5AAB62-87E4-4D48-9A35-D3A226AA45B3}"/>
  </w:font>
  <w:font w:name="Segoe UI">
    <w:panose1 w:val="020B0502040204020203"/>
    <w:charset w:val="00"/>
    <w:family w:val="auto"/>
    <w:pitch w:val="default"/>
    <w:sig w:usb0="E4002EFF" w:usb1="C000E47F" w:usb2="00000009" w:usb3="00000000" w:csb0="200001FF" w:csb1="00000000"/>
    <w:embedRegular r:id="rId2" w:fontKey="{5474B18B-2BC4-4F0C-8623-0C045BBB8F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CB77B4"/>
    <w:rsid w:val="02181EBE"/>
    <w:rsid w:val="05CB77B4"/>
    <w:rsid w:val="296F2FB9"/>
    <w:rsid w:val="2C3A6283"/>
    <w:rsid w:val="2FD84E32"/>
    <w:rsid w:val="301A43B1"/>
    <w:rsid w:val="43DA36DE"/>
    <w:rsid w:val="57216F85"/>
    <w:rsid w:val="5D7357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sz w:val="24"/>
      <w:szCs w:val="24"/>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1038</Words>
  <Characters>1117</Characters>
  <Lines>0</Lines>
  <Paragraphs>0</Paragraphs>
  <TotalTime>26</TotalTime>
  <ScaleCrop>false</ScaleCrop>
  <LinksUpToDate>false</LinksUpToDate>
  <CharactersWithSpaces>1142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2026-08-26T04:42:00Z</dcterms:created>
  <dc:creator>杨娟</dc:creator>
  <cp:lastModifiedBy>杨娟</cp:lastModifiedBy>
  <dcterms:modified xsi:type="dcterms:W3CDTF">2026-09-02T01:18:23Z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762C19E182A4460E956022AE1DA10A06_13</vt:lpwstr>
  </property>
  <property fmtid="{D5CDD505-2E9C-101B-9397-08002B2CF9AE}" pid="4" name="KSOTemplateDocerSaveRecord">
    <vt:lpwstr>eyJoZGlkIjoiZTI1ZGVmZGJjYWE1NWRjNmU0MjY2Njc2ZDlkMWUyODciLCJ1c2VySWQiOiIyNDYyODg4OTEifQ==</vt:lpwstr>
  </property>
</Properties>
</file>