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52689">
      <w:pPr>
        <w:spacing w:before="0" w:after="40" w:line="300" w:lineRule="auto"/>
        <w:jc w:val="center"/>
        <w:rPr>
          <w:rFonts w:hint="eastAsia" w:ascii="方正仿宋_GB2312" w:hAnsi="方正仿宋_GB2312" w:eastAsia="方正仿宋_GB2312" w:cs="方正仿宋_GB2312"/>
          <w:b/>
          <w:bCs/>
          <w:color w:val="000000" w:themeColor="text1"/>
          <w:sz w:val="36"/>
          <w:szCs w:val="36"/>
          <w14:textFill>
            <w14:solidFill>
              <w14:schemeClr w14:val="tx1"/>
            </w14:solidFill>
          </w14:textFill>
        </w:rPr>
      </w:pPr>
      <w:r>
        <w:rPr>
          <w:rFonts w:hint="eastAsia" w:ascii="方正仿宋_GB2312" w:hAnsi="方正仿宋_GB2312" w:eastAsia="方正仿宋_GB2312" w:cs="方正仿宋_GB2312"/>
          <w:b/>
          <w:bCs/>
          <w:color w:val="000000" w:themeColor="text1"/>
          <w:sz w:val="36"/>
          <w:szCs w:val="36"/>
          <w14:textFill>
            <w14:solidFill>
              <w14:schemeClr w14:val="tx1"/>
            </w14:solidFill>
          </w14:textFill>
        </w:rPr>
        <w:t>2026世界青年科学家峰会“万有引力π”展示交流活动</w:t>
      </w:r>
    </w:p>
    <w:p w14:paraId="3BABAB12">
      <w:pPr>
        <w:spacing w:before="40" w:after="200" w:line="380" w:lineRule="auto"/>
        <w:jc w:val="center"/>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板块</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三</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 中试工艺熟化展区 · 展品征集指南</w:t>
      </w:r>
    </w:p>
    <w:p w14:paraId="535E379F">
      <w:pPr>
        <w:spacing w:before="80" w:after="80" w:line="380" w:lineRule="auto"/>
        <w:ind w:firstLine="480"/>
        <w:jc w:val="both"/>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中试，是创新成果从实验室走向市场的“必经之路”，也是技术从“书架”到“货架”的关键一跃。</w:t>
      </w:r>
    </w:p>
    <w:p w14:paraId="3A8EBA5D">
      <w:pPr>
        <w:spacing w:before="80" w:after="80" w:line="380" w:lineRule="auto"/>
        <w:ind w:firstLine="480"/>
        <w:jc w:val="both"/>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温州已构建“市级—省级—国家级”现代化中试平台培育体系，培育市级及以上中试平台18家，累计建成中试场地超12万平方米，可提供服务项目84项，共享仪器设备217台，成功转化成果300余项。2026青科会“万有引力π”设立“中试工艺熟化展区”，集中呈现技术从实验室原型到产业化中试的跃迁历程，让来宾沉浸式感受“在温州，看见创新中国”。我们诚挚邀请拥有中试成果的企业、平台和团队参展。</w:t>
      </w:r>
    </w:p>
    <w:p w14:paraId="45E0ECEE">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展区定位：</w:t>
      </w:r>
    </w:p>
    <w:p w14:paraId="08F8290D">
      <w:pPr>
        <w:spacing w:before="40" w:after="40" w:line="340" w:lineRule="auto"/>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sz w:val="28"/>
          <w:szCs w:val="28"/>
          <w14:textFill>
            <w14:solidFill>
              <w14:schemeClr w14:val="tx1"/>
            </w14:solidFill>
          </w14:textFill>
        </w:rPr>
        <w:t>◆ 展区主题：工艺跃迁 · 中试赋能</w:t>
      </w:r>
    </w:p>
    <w:p w14:paraId="500EAAFF">
      <w:pPr>
        <w:spacing w:before="40" w:after="40" w:line="340" w:lineRule="auto"/>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sz w:val="28"/>
          <w:szCs w:val="28"/>
          <w14:textFill>
            <w14:solidFill>
              <w14:schemeClr w14:val="tx1"/>
            </w14:solidFill>
          </w14:textFill>
        </w:rPr>
        <w:t>◆ 展示逻辑：以“实验室vs中试”工艺参数对比为主线，可视化呈现技术迭代与工艺突破</w:t>
      </w:r>
    </w:p>
    <w:p w14:paraId="40689F28">
      <w:pPr>
        <w:spacing w:before="40" w:after="40" w:line="340" w:lineRule="auto"/>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sz w:val="28"/>
          <w:szCs w:val="28"/>
          <w14:textFill>
            <w14:solidFill>
              <w14:schemeClr w14:val="tx1"/>
            </w14:solidFill>
          </w14:textFill>
        </w:rPr>
        <w:t>◆ 牵头部门：温州市经济和信息化局</w:t>
      </w:r>
    </w:p>
    <w:p w14:paraId="4F2FDBB5">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征集内容：</w:t>
      </w:r>
    </w:p>
    <w:p w14:paraId="7AECB032">
      <w:pPr>
        <w:spacing w:before="80" w:after="80" w:line="380" w:lineRule="auto"/>
        <w:ind w:firstLine="560" w:firstLineChars="200"/>
        <w:jc w:val="both"/>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面向拥有中试平台或已完成中试工艺熟化的企业、科研院所、新型研发机构，征集已实现从实验室原型到中试验证跨越的技术成果与典型案例。</w:t>
      </w:r>
    </w:p>
    <w:p w14:paraId="5F459E6F">
      <w:pPr>
        <w:spacing w:before="80" w:after="80" w:line="380" w:lineRule="auto"/>
        <w:jc w:val="both"/>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 已完成中试工艺验证、具备中</w:t>
      </w:r>
      <w:r>
        <w:rPr>
          <w:rFonts w:hint="eastAsia" w:ascii="方正仿宋_GB2312" w:hAnsi="方正仿宋_GB2312" w:eastAsia="方正仿宋_GB2312" w:cs="方正仿宋_GB2312"/>
          <w:color w:val="000000" w:themeColor="text1"/>
          <w:sz w:val="28"/>
          <w:szCs w:val="28"/>
          <w14:textFill>
            <w14:solidFill>
              <w14:schemeClr w14:val="tx1"/>
            </w14:solidFill>
          </w14:textFill>
        </w:rPr>
        <w:t>试终端样品或可展示试样的成果</w:t>
      </w:r>
    </w:p>
    <w:p w14:paraId="4E95C41D">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拥有明确的实验室与中试工艺参数对比数据、良品率/性能提升数据</w:t>
      </w:r>
    </w:p>
    <w:p w14:paraId="3C08D610">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在温州本地中试平台完成中试或与温州产业有明确对接意向的成果优先</w:t>
      </w:r>
    </w:p>
    <w:p w14:paraId="41F334FE">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能提供中试平台服务能力介绍及共享设备清单的平台型机构优先</w:t>
      </w:r>
    </w:p>
    <w:p w14:paraId="32E205C6">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重点方向：</w:t>
      </w:r>
    </w:p>
    <w:tbl>
      <w:tblPr>
        <w:tblStyle w:val="11"/>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36"/>
        <w:gridCol w:w="7424"/>
      </w:tblGrid>
      <w:tr w14:paraId="4AC6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1936" w:type="dxa"/>
            <w:tcBorders>
              <w:top w:val="single" w:color="000000" w:sz="6" w:space="0"/>
              <w:left w:val="single" w:color="000000" w:sz="6" w:space="0"/>
              <w:bottom w:val="single" w:color="000000" w:sz="6" w:space="0"/>
              <w:right w:val="single" w:color="000000" w:sz="6" w:space="0"/>
            </w:tcBorders>
            <w:shd w:val="clear" w:color="auto" w:fill="D6E4F0"/>
            <w:tcMar>
              <w:top w:w="80" w:type="dxa"/>
              <w:left w:w="120" w:type="dxa"/>
              <w:bottom w:w="80" w:type="dxa"/>
              <w:right w:w="120" w:type="dxa"/>
            </w:tcMar>
            <w:vAlign w:val="center"/>
          </w:tcPr>
          <w:p w14:paraId="4D707148">
            <w:pPr>
              <w:snapToGrid w:val="0"/>
              <w:spacing w:before="40" w:after="40" w:line="240" w:lineRule="auto"/>
              <w:ind w:left="0" w:leftChars="0" w:right="0" w:rightChars="0" w:firstLine="0" w:firstLineChars="0"/>
              <w:jc w:val="center"/>
              <w:rPr>
                <w:rFonts w:hint="eastAsia" w:ascii="方正仿宋_GB2312" w:hAnsi="方正仿宋_GB2312" w:eastAsia="方正仿宋_GB2312" w:cs="方正仿宋_GB2312"/>
                <w:b/>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领域</w:t>
            </w:r>
          </w:p>
        </w:tc>
        <w:tc>
          <w:tcPr>
            <w:tcW w:w="7424" w:type="dxa"/>
            <w:tcBorders>
              <w:top w:val="single" w:color="000000" w:sz="6" w:space="0"/>
              <w:left w:val="single" w:color="000000" w:sz="6" w:space="0"/>
              <w:bottom w:val="single" w:color="000000" w:sz="6" w:space="0"/>
              <w:right w:val="single" w:color="000000" w:sz="6" w:space="0"/>
            </w:tcBorders>
            <w:shd w:val="clear" w:color="auto" w:fill="D6E4F0"/>
            <w:tcMar>
              <w:top w:w="80" w:type="dxa"/>
              <w:left w:w="120" w:type="dxa"/>
              <w:bottom w:w="80" w:type="dxa"/>
              <w:right w:w="120" w:type="dxa"/>
            </w:tcMar>
            <w:vAlign w:val="center"/>
          </w:tcPr>
          <w:p w14:paraId="3103A199">
            <w:pPr>
              <w:snapToGrid w:val="0"/>
              <w:spacing w:before="40" w:after="40" w:line="240" w:lineRule="auto"/>
              <w:ind w:left="0" w:leftChars="0" w:right="0" w:rightChars="0" w:firstLine="0" w:firstLineChars="0"/>
              <w:jc w:val="center"/>
              <w:rPr>
                <w:rFonts w:hint="eastAsia" w:ascii="方正仿宋_GB2312" w:hAnsi="方正仿宋_GB2312" w:eastAsia="方正仿宋_GB2312" w:cs="方正仿宋_GB2312"/>
                <w:b/>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展品方向</w:t>
            </w:r>
          </w:p>
        </w:tc>
      </w:tr>
      <w:tr w14:paraId="30B9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936"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07B7A9D9">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新能源新材料</w:t>
            </w:r>
          </w:p>
        </w:tc>
        <w:tc>
          <w:tcPr>
            <w:tcW w:w="742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1575A056">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动力电池材料配方优化到工艺放大、固态电解质中试、新型储能材料工艺验证、碳纤维复材成型工艺</w:t>
            </w: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、钙钛矿光伏电池中试及稳定性工艺验证等</w:t>
            </w:r>
          </w:p>
        </w:tc>
      </w:tr>
      <w:tr w14:paraId="12E3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936"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F18EDAB">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激光与光电子</w:t>
            </w:r>
          </w:p>
        </w:tc>
        <w:tc>
          <w:tcPr>
            <w:tcW w:w="742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1EAABBB2">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特种光纤与光电芯片工艺迭代、光子芯片中试验证、激光器件封装工艺熟化</w:t>
            </w: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等</w:t>
            </w:r>
          </w:p>
        </w:tc>
      </w:tr>
      <w:tr w14:paraId="7B83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936"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91C20F7">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生命健康</w:t>
            </w:r>
          </w:p>
        </w:tc>
        <w:tc>
          <w:tcPr>
            <w:tcW w:w="742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DE0D5D6">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CDMO平台工艺优化、生物相容性电极与传感材料迭代、创新药物中试放大</w:t>
            </w: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等</w:t>
            </w:r>
          </w:p>
        </w:tc>
      </w:tr>
      <w:tr w14:paraId="5B2E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936"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6E86DEFE">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具身智能</w:t>
            </w:r>
          </w:p>
        </w:tc>
        <w:tc>
          <w:tcPr>
            <w:tcW w:w="742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253D2F2F">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机器人核心零部件中试工艺、智能装备制造工艺验证</w:t>
            </w:r>
          </w:p>
          <w:p w14:paraId="4DC17C7C">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具身智能数据采集验证等</w:t>
            </w:r>
          </w:p>
        </w:tc>
      </w:tr>
      <w:tr w14:paraId="2125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936"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12D2D5BF">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低空装备</w:t>
            </w:r>
          </w:p>
        </w:tc>
        <w:tc>
          <w:tcPr>
            <w:tcW w:w="742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4D49FCCF">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碳纤维复材机身工艺、高能量密度电池中试、eVTOL部件工艺验证</w:t>
            </w: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等</w:t>
            </w:r>
          </w:p>
        </w:tc>
      </w:tr>
      <w:tr w14:paraId="6323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936"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1DD0C165">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智慧医疗/脑机接口</w:t>
            </w:r>
          </w:p>
        </w:tc>
        <w:tc>
          <w:tcPr>
            <w:tcW w:w="7424"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center"/>
          </w:tcPr>
          <w:p w14:paraId="5A0C9387">
            <w:pPr>
              <w:snapToGrid w:val="0"/>
              <w:spacing w:before="40" w:after="40" w:line="240" w:lineRule="auto"/>
              <w:ind w:left="0" w:leftChars="0" w:right="0" w:rightChars="0" w:firstLine="0" w:firstLineChars="0"/>
              <w:jc w:val="left"/>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医学影像设备中试、脑控康复设备工艺熟化、仿生假肢制造工艺验证</w:t>
            </w: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等</w:t>
            </w:r>
          </w:p>
        </w:tc>
      </w:tr>
    </w:tbl>
    <w:p w14:paraId="68ED978D">
      <w:pPr>
        <w:spacing w:before="80" w:after="80" w:line="380" w:lineRule="auto"/>
        <w:jc w:val="both"/>
        <w:rPr>
          <w:rFonts w:hint="eastAsia" w:ascii="方正仿宋_GB2312" w:hAnsi="方正仿宋_GB2312" w:eastAsia="方正仿宋_GB2312" w:cs="方正仿宋_GB2312"/>
          <w:b/>
          <w:bCs/>
          <w:sz w:val="28"/>
          <w:szCs w:val="28"/>
          <w:lang w:val="en-US" w:eastAsia="zh-CN"/>
        </w:rPr>
      </w:pPr>
    </w:p>
    <w:p w14:paraId="2E552317">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入选标准：</w:t>
      </w:r>
    </w:p>
    <w:p w14:paraId="4651032F">
      <w:pPr>
        <w:spacing w:before="80" w:after="80" w:line="380" w:lineRule="auto"/>
        <w:ind w:firstLine="480"/>
        <w:jc w:val="both"/>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参展成果须满足以下条件：</w:t>
      </w:r>
    </w:p>
    <w:p w14:paraId="236DD85A">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已完成中试工艺验证（含小试到中试放大研究），具备可展示的终端样品、材料试样或实物</w:t>
      </w:r>
    </w:p>
    <w:p w14:paraId="1FCEE342">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能提供完整的工艺数据对比：实验室参数 vs 中试参数、良品率/性能数据、关键突破点描述</w:t>
      </w:r>
    </w:p>
    <w:p w14:paraId="1FB3BC04">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成果具有明确的产业化前景和落地规划</w:t>
      </w:r>
    </w:p>
    <w:p w14:paraId="67304E6C">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成果权属清晰，无知识产权纠纷</w:t>
      </w:r>
    </w:p>
    <w:p w14:paraId="1A30D777">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申报材料：</w:t>
      </w:r>
    </w:p>
    <w:p w14:paraId="24E84C26">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成果/案例介绍（含技术背景、实验室与中试工艺参数对比表、良品率/性能数据、关键突破点描述，800字以内）</w:t>
      </w:r>
    </w:p>
    <w:p w14:paraId="11B29906">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中试验证终端样品/材料试样/芯片光纤实物等展品的实物照片及规格说明</w:t>
      </w:r>
    </w:p>
    <w:p w14:paraId="43272623">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运输及展示需求清单（含尺寸、重量、用电、安全等要求）</w:t>
      </w:r>
    </w:p>
    <w:p w14:paraId="3EC6B7EA">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知识产权证明及第三方检测报告（如有）</w:t>
      </w:r>
    </w:p>
    <w:p w14:paraId="73F79FD3">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产业化进展或落地规划说明</w:t>
      </w:r>
    </w:p>
    <w:p w14:paraId="7072CFD7">
      <w:pPr>
        <w:spacing w:before="50" w:after="50" w:line="360" w:lineRule="auto"/>
        <w:ind w:left="480" w:firstLine="0"/>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单位LOGO及高清图片3—4张（1M以上）</w:t>
      </w:r>
    </w:p>
    <w:p w14:paraId="49FB5C4C">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申报方式：</w:t>
      </w:r>
    </w:p>
    <w:p w14:paraId="04B0FD5B">
      <w:pPr>
        <w:spacing w:before="80" w:after="80" w:line="380" w:lineRule="auto"/>
        <w:ind w:firstLine="480"/>
        <w:jc w:val="both"/>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请填写《青科会参展信息收集表》，连同附件材料发送至指定邮箱，邮件主题请注明：“万有引力π参展申报—中试工艺熟化—单位名称”</w:t>
      </w: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w:t>
      </w:r>
    </w:p>
    <w:tbl>
      <w:tblPr>
        <w:tblStyle w:val="11"/>
        <w:tblpPr w:leftFromText="180" w:rightFromText="180" w:vertAnchor="text" w:horzAnchor="page" w:tblpX="1400" w:tblpY="713"/>
        <w:tblOverlap w:val="never"/>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865"/>
        <w:gridCol w:w="5495"/>
      </w:tblGrid>
      <w:tr w14:paraId="1B0F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3865" w:type="dxa"/>
            <w:tcBorders>
              <w:top w:val="single" w:color="000000" w:sz="6" w:space="0"/>
              <w:left w:val="single" w:color="000000" w:sz="6" w:space="0"/>
              <w:bottom w:val="single" w:color="000000" w:sz="6" w:space="0"/>
              <w:right w:val="single" w:color="000000" w:sz="6" w:space="0"/>
            </w:tcBorders>
            <w:shd w:val="clear" w:color="auto" w:fill="D6E4F0"/>
            <w:tcMar>
              <w:top w:w="80" w:type="dxa"/>
              <w:left w:w="120" w:type="dxa"/>
              <w:bottom w:w="80" w:type="dxa"/>
              <w:right w:w="120" w:type="dxa"/>
            </w:tcMar>
            <w:vAlign w:val="top"/>
          </w:tcPr>
          <w:p w14:paraId="27AAC5D4">
            <w:pPr>
              <w:spacing w:before="40" w:after="40" w:line="300" w:lineRule="auto"/>
              <w:jc w:val="center"/>
              <w:rPr>
                <w:rFonts w:hint="eastAsia" w:ascii="方正仿宋_GB2312" w:hAnsi="方正仿宋_GB2312" w:eastAsia="方正仿宋_GB2312" w:cs="方正仿宋_GB2312"/>
                <w:b/>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sz w:val="28"/>
                <w:szCs w:val="28"/>
              </w:rPr>
              <w:t>时间节点</w:t>
            </w:r>
          </w:p>
        </w:tc>
        <w:tc>
          <w:tcPr>
            <w:tcW w:w="5495" w:type="dxa"/>
            <w:tcBorders>
              <w:top w:val="single" w:color="000000" w:sz="6" w:space="0"/>
              <w:left w:val="single" w:color="000000" w:sz="6" w:space="0"/>
              <w:bottom w:val="single" w:color="000000" w:sz="6" w:space="0"/>
              <w:right w:val="single" w:color="000000" w:sz="6" w:space="0"/>
            </w:tcBorders>
            <w:shd w:val="clear" w:color="auto" w:fill="D6E4F0"/>
            <w:tcMar>
              <w:top w:w="80" w:type="dxa"/>
              <w:left w:w="120" w:type="dxa"/>
              <w:bottom w:w="80" w:type="dxa"/>
              <w:right w:w="120" w:type="dxa"/>
            </w:tcMar>
            <w:vAlign w:val="top"/>
          </w:tcPr>
          <w:p w14:paraId="6CBC3E0E">
            <w:pPr>
              <w:spacing w:before="40" w:after="40" w:line="300" w:lineRule="auto"/>
              <w:jc w:val="center"/>
              <w:rPr>
                <w:rFonts w:hint="eastAsia" w:ascii="方正仿宋_GB2312" w:hAnsi="方正仿宋_GB2312" w:eastAsia="方正仿宋_GB2312" w:cs="方正仿宋_GB2312"/>
                <w:b/>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sz w:val="28"/>
                <w:szCs w:val="28"/>
              </w:rPr>
              <w:t>重要事项</w:t>
            </w:r>
          </w:p>
        </w:tc>
      </w:tr>
      <w:tr w14:paraId="33FE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386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0DA8D930">
            <w:pPr>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即日 — 9月</w:t>
            </w:r>
            <w:r>
              <w:rPr>
                <w:rFonts w:hint="eastAsia" w:ascii="方正仿宋_GB2312" w:hAnsi="方正仿宋_GB2312" w:eastAsia="方正仿宋_GB2312" w:cs="方正仿宋_GB2312"/>
                <w:b w:val="0"/>
                <w:bCs w:val="0"/>
                <w:sz w:val="28"/>
                <w:szCs w:val="28"/>
                <w:lang w:val="en-US" w:eastAsia="zh-CN"/>
              </w:rPr>
              <w:t>25</w:t>
            </w:r>
            <w:r>
              <w:rPr>
                <w:rFonts w:hint="eastAsia" w:ascii="方正仿宋_GB2312" w:hAnsi="方正仿宋_GB2312" w:eastAsia="方正仿宋_GB2312" w:cs="方正仿宋_GB2312"/>
                <w:b w:val="0"/>
                <w:bCs w:val="0"/>
                <w:sz w:val="28"/>
                <w:szCs w:val="28"/>
              </w:rPr>
              <w:t>日</w:t>
            </w:r>
          </w:p>
        </w:tc>
        <w:tc>
          <w:tcPr>
            <w:tcW w:w="54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43860CF7">
            <w:pPr>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在线提交申报材料</w:t>
            </w:r>
          </w:p>
        </w:tc>
      </w:tr>
      <w:tr w14:paraId="26C3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386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7ACEF9A0">
            <w:pPr>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9月</w:t>
            </w:r>
            <w:r>
              <w:rPr>
                <w:rFonts w:hint="eastAsia" w:ascii="方正仿宋_GB2312" w:hAnsi="方正仿宋_GB2312" w:eastAsia="方正仿宋_GB2312" w:cs="方正仿宋_GB2312"/>
                <w:b w:val="0"/>
                <w:bCs w:val="0"/>
                <w:sz w:val="28"/>
                <w:szCs w:val="28"/>
                <w:lang w:val="en-US" w:eastAsia="zh-CN"/>
              </w:rPr>
              <w:t>28</w:t>
            </w:r>
            <w:bookmarkStart w:id="0" w:name="_GoBack"/>
            <w:bookmarkEnd w:id="0"/>
            <w:r>
              <w:rPr>
                <w:rFonts w:hint="eastAsia" w:ascii="方正仿宋_GB2312" w:hAnsi="方正仿宋_GB2312" w:eastAsia="方正仿宋_GB2312" w:cs="方正仿宋_GB2312"/>
                <w:b w:val="0"/>
                <w:bCs w:val="0"/>
                <w:sz w:val="28"/>
                <w:szCs w:val="28"/>
                <w:lang w:val="en-US" w:eastAsia="zh-CN"/>
              </w:rPr>
              <w:t>日</w:t>
            </w:r>
          </w:p>
        </w:tc>
        <w:tc>
          <w:tcPr>
            <w:tcW w:w="54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6010D9E9">
            <w:pPr>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专家集中遴选，确定入选名单</w:t>
            </w:r>
          </w:p>
        </w:tc>
      </w:tr>
      <w:tr w14:paraId="7DA4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386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4A3ADE8C">
            <w:pPr>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lang w:val="en-US" w:eastAsia="zh-CN"/>
              </w:rPr>
              <w:t>10</w:t>
            </w:r>
            <w:r>
              <w:rPr>
                <w:rFonts w:hint="eastAsia" w:ascii="方正仿宋_GB2312" w:hAnsi="方正仿宋_GB2312" w:eastAsia="方正仿宋_GB2312" w:cs="方正仿宋_GB2312"/>
                <w:b w:val="0"/>
                <w:bCs w:val="0"/>
                <w:sz w:val="28"/>
                <w:szCs w:val="28"/>
              </w:rPr>
              <w:t>月</w:t>
            </w:r>
            <w:r>
              <w:rPr>
                <w:rFonts w:hint="eastAsia" w:ascii="方正仿宋_GB2312" w:hAnsi="方正仿宋_GB2312" w:eastAsia="方正仿宋_GB2312" w:cs="方正仿宋_GB2312"/>
                <w:b w:val="0"/>
                <w:bCs w:val="0"/>
                <w:sz w:val="28"/>
                <w:szCs w:val="28"/>
                <w:lang w:val="en-US" w:eastAsia="zh-CN"/>
              </w:rPr>
              <w:t>12</w:t>
            </w:r>
            <w:r>
              <w:rPr>
                <w:rFonts w:hint="eastAsia" w:ascii="方正仿宋_GB2312" w:hAnsi="方正仿宋_GB2312" w:eastAsia="方正仿宋_GB2312" w:cs="方正仿宋_GB2312"/>
                <w:b w:val="0"/>
                <w:bCs w:val="0"/>
                <w:sz w:val="28"/>
                <w:szCs w:val="28"/>
              </w:rPr>
              <w:t>日</w:t>
            </w:r>
          </w:p>
        </w:tc>
        <w:tc>
          <w:tcPr>
            <w:tcW w:w="54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0E401BEC">
            <w:pPr>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确认展品与演示方案</w:t>
            </w:r>
          </w:p>
        </w:tc>
      </w:tr>
      <w:tr w14:paraId="0D37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386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4FA0FDCC">
            <w:pPr>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10月20日 — 22日</w:t>
            </w:r>
          </w:p>
        </w:tc>
        <w:tc>
          <w:tcPr>
            <w:tcW w:w="54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4E5F2C44">
            <w:pPr>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进场布展</w:t>
            </w:r>
          </w:p>
        </w:tc>
      </w:tr>
      <w:tr w14:paraId="570D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386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6E7B9EC6">
            <w:pPr>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10月23日</w:t>
            </w:r>
          </w:p>
        </w:tc>
        <w:tc>
          <w:tcPr>
            <w:tcW w:w="54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739822FA">
            <w:pPr>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全流程彩排</w:t>
            </w:r>
          </w:p>
        </w:tc>
      </w:tr>
      <w:tr w14:paraId="26B6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rPr>
        <w:tc>
          <w:tcPr>
            <w:tcW w:w="386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27B7D9C6">
            <w:pPr>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10月23日 — 25日</w:t>
            </w:r>
          </w:p>
        </w:tc>
        <w:tc>
          <w:tcPr>
            <w:tcW w:w="5495"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009ACBCF">
            <w:pPr>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sz w:val="28"/>
                <w:szCs w:val="28"/>
              </w:rPr>
              <w:t>活动正式举办</w:t>
            </w:r>
          </w:p>
        </w:tc>
      </w:tr>
    </w:tbl>
    <w:p w14:paraId="26A4754D">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时间安排：</w:t>
      </w:r>
    </w:p>
    <w:p w14:paraId="0D3C2DAE">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注意事项：</w:t>
      </w:r>
    </w:p>
    <w:p w14:paraId="13275F91">
      <w:pPr>
        <w:spacing w:before="80" w:after="80" w:line="380" w:lineRule="auto"/>
        <w:ind w:firstLine="480"/>
        <w:jc w:val="both"/>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1.参展成果须已完成中试工艺验证，纯实验室阶段成果建议申报“概念原理验证展区”。</w:t>
      </w:r>
    </w:p>
    <w:p w14:paraId="7FADC3E0">
      <w:pPr>
        <w:spacing w:before="80" w:after="80" w:line="380" w:lineRule="auto"/>
        <w:ind w:firstLine="480"/>
        <w:jc w:val="both"/>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2.涉及动态演示的展品，须在申报时明确演示方案和安全操作规程，经审核通过后方可现场演示。</w:t>
      </w:r>
    </w:p>
    <w:p w14:paraId="14A1EED3">
      <w:pPr>
        <w:spacing w:before="80" w:after="80" w:line="380" w:lineRule="auto"/>
        <w:ind w:firstLine="480"/>
        <w:jc w:val="both"/>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3.参展单位须对展品拥有合法知识产权，因侵权引发的纠纷由参展单位承担。</w:t>
      </w:r>
    </w:p>
    <w:p w14:paraId="474BD949">
      <w:pPr>
        <w:spacing w:before="80" w:after="80" w:line="380" w:lineRule="auto"/>
        <w:ind w:firstLine="480"/>
        <w:jc w:val="both"/>
        <w:rPr>
          <w:rFonts w:hint="default" w:ascii="方正仿宋_GB2312" w:hAnsi="方正仿宋_GB2312" w:eastAsia="方正仿宋_GB2312" w:cs="方正仿宋_GB2312"/>
          <w:color w:val="000000" w:themeColor="text1"/>
          <w:sz w:val="28"/>
          <w:szCs w:val="28"/>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4.本次活动为受邀参展，不收取展位费用</w:t>
      </w:r>
      <w:r>
        <w:rPr>
          <w:rFonts w:hint="eastAsia" w:ascii="方正仿宋_GB2312" w:hAnsi="方正仿宋_GB2312" w:eastAsia="方正仿宋_GB2312" w:cs="方正仿宋_GB2312"/>
          <w:b w:val="0"/>
          <w:bCs w:val="0"/>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展品运输、人员差旅等费用由参展单位自行承担（另有约定的除外）。</w:t>
      </w: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br w:type="textWrapping"/>
      </w:r>
      <w:r>
        <w:rPr>
          <w:rFonts w:hint="eastAsia" w:ascii="方正仿宋_GB2312" w:hAnsi="方正仿宋_GB2312" w:eastAsia="方正仿宋_GB2312" w:cs="方正仿宋_GB2312"/>
          <w:b w:val="0"/>
          <w:bCs w:val="0"/>
          <w:color w:val="000000" w:themeColor="text1"/>
          <w:sz w:val="28"/>
          <w:szCs w:val="28"/>
          <w:lang w:val="en-US" w:eastAsia="zh-CN"/>
          <w14:textFill>
            <w14:solidFill>
              <w14:schemeClr w14:val="tx1"/>
            </w14:solidFill>
          </w14:textFill>
        </w:rPr>
        <w:t xml:space="preserve">    5</w:t>
      </w: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.入选展品因中试验证设备体积较大、不便搬运，将以模型、视频或展板形式参展展示，相关制作费用由组委会一事一议。</w:t>
      </w:r>
    </w:p>
    <w:p w14:paraId="7508A9DD">
      <w:pPr>
        <w:spacing w:before="80" w:after="80" w:line="380" w:lineRule="auto"/>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联系我们</w:t>
      </w:r>
    </w:p>
    <w:tbl>
      <w:tblPr>
        <w:tblStyle w:val="11"/>
        <w:tblpPr w:leftFromText="180" w:rightFromText="180" w:vertAnchor="text" w:tblpXSpec="center" w:tblpY="1"/>
        <w:tblOverlap w:val="never"/>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13"/>
        <w:gridCol w:w="7147"/>
      </w:tblGrid>
      <w:tr w14:paraId="3333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2213" w:type="dxa"/>
            <w:tcBorders>
              <w:top w:val="single" w:color="000000" w:sz="6" w:space="0"/>
              <w:left w:val="single" w:color="000000" w:sz="6" w:space="0"/>
              <w:bottom w:val="single" w:color="000000" w:sz="6" w:space="0"/>
              <w:right w:val="single" w:color="000000" w:sz="6" w:space="0"/>
            </w:tcBorders>
            <w:shd w:val="clear" w:color="auto" w:fill="F2F7FB"/>
            <w:tcMar>
              <w:top w:w="80" w:type="dxa"/>
              <w:left w:w="120" w:type="dxa"/>
              <w:bottom w:w="80" w:type="dxa"/>
              <w:right w:w="120" w:type="dxa"/>
            </w:tcMar>
            <w:vAlign w:val="top"/>
          </w:tcPr>
          <w:p w14:paraId="4F79F839">
            <w:pPr>
              <w:keepNext/>
              <w:snapToGrid w:val="0"/>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牵头部门</w:t>
            </w:r>
          </w:p>
        </w:tc>
        <w:tc>
          <w:tcPr>
            <w:tcW w:w="7147"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7B5BEF8D">
            <w:pPr>
              <w:keepNext/>
              <w:snapToGrid w:val="0"/>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温州市经济和信息化局</w:t>
            </w:r>
          </w:p>
        </w:tc>
      </w:tr>
      <w:tr w14:paraId="632E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2213"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2B80235F">
            <w:pPr>
              <w:keepNext/>
              <w:snapToGrid w:val="0"/>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征集范围</w:t>
            </w:r>
          </w:p>
        </w:tc>
        <w:tc>
          <w:tcPr>
            <w:tcW w:w="7147"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65905446">
            <w:pPr>
              <w:keepNext/>
              <w:snapToGrid w:val="0"/>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拥有中试成果的企业、中试平台运营机构、科研院所及创新团队</w:t>
            </w:r>
          </w:p>
        </w:tc>
      </w:tr>
      <w:tr w14:paraId="5038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2213" w:type="dxa"/>
            <w:tcBorders>
              <w:top w:val="single" w:color="000000" w:sz="6" w:space="0"/>
              <w:left w:val="single" w:color="000000" w:sz="6" w:space="0"/>
              <w:bottom w:val="single" w:color="000000" w:sz="6" w:space="0"/>
              <w:right w:val="single" w:color="000000" w:sz="6" w:space="0"/>
            </w:tcBorders>
            <w:shd w:val="clear" w:color="auto" w:fill="F2F7FB"/>
            <w:tcMar>
              <w:top w:w="80" w:type="dxa"/>
              <w:left w:w="120" w:type="dxa"/>
              <w:bottom w:w="80" w:type="dxa"/>
              <w:right w:w="120" w:type="dxa"/>
            </w:tcMar>
            <w:vAlign w:val="top"/>
          </w:tcPr>
          <w:p w14:paraId="49F5A763">
            <w:pPr>
              <w:keepNext/>
              <w:snapToGrid w:val="0"/>
              <w:spacing w:before="40" w:after="40" w:line="30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征集截止</w:t>
            </w:r>
          </w:p>
        </w:tc>
        <w:tc>
          <w:tcPr>
            <w:tcW w:w="7147"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717DCA07">
            <w:pPr>
              <w:keepNext/>
              <w:snapToGrid w:val="0"/>
              <w:spacing w:before="40" w:after="40" w:line="300" w:lineRule="auto"/>
              <w:jc w:val="left"/>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2026年9月25日</w:t>
            </w:r>
          </w:p>
        </w:tc>
      </w:tr>
      <w:tr w14:paraId="5653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trPr>
        <w:tc>
          <w:tcPr>
            <w:tcW w:w="2213"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04CD49C9">
            <w:pPr>
              <w:keepNext/>
              <w:snapToGrid w:val="0"/>
              <w:spacing w:before="40" w:after="40" w:line="300" w:lineRule="auto"/>
              <w:jc w:val="cente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咨询方式</w:t>
            </w:r>
          </w:p>
        </w:tc>
        <w:tc>
          <w:tcPr>
            <w:tcW w:w="7147" w:type="dxa"/>
            <w:tcBorders>
              <w:top w:val="single" w:color="000000" w:sz="6" w:space="0"/>
              <w:left w:val="single" w:color="000000" w:sz="6" w:space="0"/>
              <w:bottom w:val="single" w:color="000000" w:sz="6" w:space="0"/>
              <w:right w:val="single" w:color="000000" w:sz="6" w:space="0"/>
            </w:tcBorders>
            <w:tcMar>
              <w:top w:w="80" w:type="dxa"/>
              <w:left w:w="120" w:type="dxa"/>
              <w:bottom w:w="80" w:type="dxa"/>
              <w:right w:w="120" w:type="dxa"/>
            </w:tcMar>
            <w:vAlign w:val="top"/>
          </w:tcPr>
          <w:p w14:paraId="69C37059">
            <w:pPr>
              <w:keepNext/>
              <w:snapToGrid w:val="0"/>
              <w:spacing w:before="40" w:after="40" w:line="300" w:lineRule="auto"/>
              <w:jc w:val="left"/>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林先生，联系方式0577-88968032（工作时间：8:30——12:00,14:30——18:00），邮箱:272056937@qq.com。</w:t>
            </w:r>
          </w:p>
        </w:tc>
      </w:tr>
    </w:tbl>
    <w:p w14:paraId="7E9F6AFC">
      <w:pPr>
        <w:spacing w:before="40" w:after="200" w:line="360" w:lineRule="auto"/>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p>
    <w:sectPr>
      <w:pgSz w:w="11906" w:h="16838"/>
      <w:pgMar w:top="1200" w:right="1300" w:bottom="1200" w:left="13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DB4D5D6C-6FA0-476B-B880-1A9D53110E3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5"/>
  </w:compat>
  <w:rsids>
    <w:rsidRoot w:val="00000000"/>
    <w:rsid w:val="0E4D44DD"/>
    <w:rsid w:val="14E97FF1"/>
    <w:rsid w:val="15163C58"/>
    <w:rsid w:val="286A4296"/>
    <w:rsid w:val="52212DB4"/>
    <w:rsid w:val="590C7F57"/>
    <w:rsid w:val="5FA701F4"/>
    <w:rsid w:val="6BEC69D9"/>
    <w:rsid w:val="7B5D21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sz w:val="24"/>
      <w:szCs w:val="24"/>
    </w:rPr>
  </w:style>
  <w:style w:type="paragraph" w:styleId="2">
    <w:name w:val="heading 1"/>
    <w:next w:val="1"/>
    <w:qFormat/>
    <w:uiPriority w:val="0"/>
    <w:rPr>
      <w:rFonts w:ascii="仿宋_GB2312" w:hAnsi="仿宋_GB2312" w:eastAsia="仿宋_GB2312" w:cs="仿宋_GB2312"/>
      <w:color w:val="2E74B5"/>
      <w:sz w:val="32"/>
      <w:szCs w:val="32"/>
    </w:rPr>
  </w:style>
  <w:style w:type="paragraph" w:styleId="3">
    <w:name w:val="heading 2"/>
    <w:next w:val="1"/>
    <w:qFormat/>
    <w:uiPriority w:val="0"/>
    <w:rPr>
      <w:rFonts w:ascii="仿宋_GB2312" w:hAnsi="仿宋_GB2312" w:eastAsia="仿宋_GB2312" w:cs="仿宋_GB2312"/>
      <w:color w:val="2E74B5"/>
      <w:sz w:val="26"/>
      <w:szCs w:val="26"/>
    </w:rPr>
  </w:style>
  <w:style w:type="paragraph" w:styleId="4">
    <w:name w:val="heading 3"/>
    <w:next w:val="1"/>
    <w:qFormat/>
    <w:uiPriority w:val="0"/>
    <w:rPr>
      <w:rFonts w:ascii="仿宋_GB2312" w:hAnsi="仿宋_GB2312" w:eastAsia="仿宋_GB2312" w:cs="仿宋_GB2312"/>
      <w:color w:val="1F4D78"/>
      <w:sz w:val="24"/>
      <w:szCs w:val="24"/>
    </w:rPr>
  </w:style>
  <w:style w:type="paragraph" w:styleId="5">
    <w:name w:val="heading 4"/>
    <w:next w:val="1"/>
    <w:qFormat/>
    <w:uiPriority w:val="0"/>
    <w:rPr>
      <w:rFonts w:ascii="仿宋_GB2312" w:hAnsi="仿宋_GB2312" w:eastAsia="仿宋_GB2312" w:cs="仿宋_GB2312"/>
      <w:i/>
      <w:iCs/>
      <w:color w:val="2E74B5"/>
      <w:sz w:val="24"/>
      <w:szCs w:val="24"/>
    </w:rPr>
  </w:style>
  <w:style w:type="paragraph" w:styleId="6">
    <w:name w:val="heading 5"/>
    <w:next w:val="1"/>
    <w:qFormat/>
    <w:uiPriority w:val="0"/>
    <w:rPr>
      <w:rFonts w:ascii="仿宋_GB2312" w:hAnsi="仿宋_GB2312" w:eastAsia="仿宋_GB2312" w:cs="仿宋_GB2312"/>
      <w:color w:val="2E74B5"/>
      <w:sz w:val="24"/>
      <w:szCs w:val="24"/>
    </w:rPr>
  </w:style>
  <w:style w:type="paragraph" w:styleId="7">
    <w:name w:val="heading 6"/>
    <w:next w:val="1"/>
    <w:qFormat/>
    <w:uiPriority w:val="0"/>
    <w:rPr>
      <w:rFonts w:ascii="仿宋_GB2312" w:hAnsi="仿宋_GB2312" w:eastAsia="仿宋_GB2312" w:cs="仿宋_GB2312"/>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9"/>
    <w:semiHidden/>
    <w:unhideWhenUsed/>
    <w:qFormat/>
    <w:uiPriority w:val="99"/>
    <w:pPr>
      <w:spacing w:after="0" w:line="240" w:lineRule="auto"/>
    </w:pPr>
    <w:rPr>
      <w:rFonts w:ascii="仿宋_GB2312" w:hAnsi="仿宋_GB2312" w:eastAsia="仿宋_GB2312" w:cs="仿宋_GB2312"/>
      <w:sz w:val="20"/>
      <w:szCs w:val="20"/>
    </w:rPr>
  </w:style>
  <w:style w:type="paragraph" w:styleId="9">
    <w:name w:val="footnote text"/>
    <w:link w:val="18"/>
    <w:semiHidden/>
    <w:unhideWhenUsed/>
    <w:qFormat/>
    <w:uiPriority w:val="99"/>
    <w:pPr>
      <w:spacing w:after="0" w:line="240" w:lineRule="auto"/>
    </w:pPr>
    <w:rPr>
      <w:rFonts w:ascii="仿宋_GB2312" w:hAnsi="仿宋_GB2312" w:eastAsia="仿宋_GB2312" w:cs="仿宋_GB2312"/>
      <w:sz w:val="20"/>
      <w:szCs w:val="20"/>
    </w:rPr>
  </w:style>
  <w:style w:type="paragraph" w:styleId="10">
    <w:name w:val="Title"/>
    <w:qFormat/>
    <w:uiPriority w:val="0"/>
    <w:rPr>
      <w:rFonts w:ascii="仿宋_GB2312" w:hAnsi="仿宋_GB2312" w:eastAsia="仿宋_GB2312" w:cs="仿宋_GB2312"/>
      <w:sz w:val="56"/>
      <w:szCs w:val="56"/>
    </w:rPr>
  </w:style>
  <w:style w:type="character" w:styleId="13">
    <w:name w:val="Strong"/>
    <w:basedOn w:val="12"/>
    <w:qFormat/>
    <w:uiPriority w:val="0"/>
    <w:rPr>
      <w:b/>
    </w:rPr>
  </w:style>
  <w:style w:type="character" w:styleId="14">
    <w:name w:val="endnote reference"/>
    <w:semiHidden/>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仿宋_GB2312" w:hAnsi="仿宋_GB2312" w:eastAsia="仿宋_GB2312" w:cs="仿宋_GB2312"/>
      <w:sz w:val="24"/>
      <w:szCs w:val="24"/>
    </w:rPr>
  </w:style>
  <w:style w:type="character" w:customStyle="1" w:styleId="18">
    <w:name w:val="Footnote Text Char"/>
    <w:link w:val="9"/>
    <w:semiHidden/>
    <w:unhideWhenUsed/>
    <w:qFormat/>
    <w:uiPriority w:val="99"/>
    <w:rPr>
      <w:sz w:val="20"/>
      <w:szCs w:val="20"/>
    </w:rPr>
  </w:style>
  <w:style w:type="character" w:customStyle="1" w:styleId="19">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1568</Words>
  <Characters>1662</Characters>
  <TotalTime>1</TotalTime>
  <ScaleCrop>false</ScaleCrop>
  <LinksUpToDate>false</LinksUpToDate>
  <CharactersWithSpaces>1708</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2026-08-26T12:25:00Z</dcterms:created>
  <dc:creator>Un-named</dc:creator>
  <cp:lastModifiedBy>杨娟</cp:lastModifiedBy>
  <cp:lastPrinted>2026-08-26T13:45:00Z</cp:lastPrinted>
  <dcterms:modified xsi:type="dcterms:W3CDTF">2026-09-02T01:18:50Z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1523265392085354_0-drive/214972977803146374/2026青科会采购文件/征集指南/03_中试工艺熟化展区_征集指南.docx","ReservedCode1":"","ContentPropagator":"001191110102MACQD9K64028705","PropagateID":"1523265392085354#1787720985062","ReservedCode2":""}</vt:lpwstr>
  </property>
  <property fmtid="{D5CDD505-2E9C-101B-9397-08002B2CF9AE}" pid="3" name="KSOTemplateDocerSaveRecord">
    <vt:lpwstr>eyJoZGlkIjoiZTI1ZGVmZGJjYWE1NWRjNmU0MjY2Njc2ZDlkMWUyODciLCJ1c2VySWQiOiIyNDYyODg4OTEifQ==</vt:lpwstr>
  </property>
  <property fmtid="{D5CDD505-2E9C-101B-9397-08002B2CF9AE}" pid="4" name="KSOProductBuildVer">
    <vt:lpwstr>2052-12.1.0.24657</vt:lpwstr>
  </property>
  <property fmtid="{D5CDD505-2E9C-101B-9397-08002B2CF9AE}" pid="5" name="ICV">
    <vt:lpwstr>75366858DC7E4F90B21C8C755D804437_13</vt:lpwstr>
  </property>
</Properties>
</file>